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0C" w:rsidRPr="002E5CFE" w:rsidRDefault="0067120C" w:rsidP="0067120C">
      <w:pPr>
        <w:pStyle w:val="Nagwek1"/>
        <w:spacing w:before="0" w:beforeAutospacing="0" w:after="0" w:afterAutospacing="0" w:line="360" w:lineRule="auto"/>
        <w:jc w:val="center"/>
        <w:rPr>
          <w:rFonts w:ascii="Times New Roman" w:hAnsi="Times New Roman"/>
          <w:sz w:val="28"/>
          <w:szCs w:val="28"/>
        </w:rPr>
      </w:pPr>
      <w:r w:rsidRPr="002E5CFE">
        <w:rPr>
          <w:rFonts w:ascii="Times New Roman" w:hAnsi="Times New Roman" w:hint="eastAsia"/>
          <w:sz w:val="28"/>
          <w:szCs w:val="28"/>
        </w:rPr>
        <w:t>WARSAW SCHOOL OF ECONOMICS</w:t>
      </w:r>
    </w:p>
    <w:p w:rsidR="0067120C" w:rsidRPr="002E5CFE" w:rsidRDefault="0067120C" w:rsidP="0067120C">
      <w:pPr>
        <w:pStyle w:val="Nagwek1"/>
        <w:spacing w:before="0" w:beforeAutospacing="0" w:after="0" w:afterAutospacing="0" w:line="360" w:lineRule="auto"/>
        <w:jc w:val="center"/>
        <w:rPr>
          <w:rFonts w:ascii="Times New Roman" w:hAnsi="Times New Roman"/>
          <w:sz w:val="28"/>
          <w:szCs w:val="28"/>
        </w:rPr>
      </w:pPr>
      <w:r w:rsidRPr="002E5CFE">
        <w:rPr>
          <w:rFonts w:ascii="Times New Roman" w:hAnsi="Times New Roman" w:hint="eastAsia"/>
          <w:sz w:val="28"/>
          <w:szCs w:val="28"/>
        </w:rPr>
        <w:t>COLLEGIUM OF WORLD ECONOMY</w:t>
      </w:r>
    </w:p>
    <w:p w:rsidR="0067120C" w:rsidRPr="002E5CFE" w:rsidRDefault="0067120C" w:rsidP="0067120C">
      <w:pPr>
        <w:pStyle w:val="Nagwek1"/>
        <w:spacing w:before="0" w:beforeAutospacing="0" w:after="0" w:afterAutospacing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7120C" w:rsidRPr="002E5CFE" w:rsidRDefault="0067120C" w:rsidP="0067120C">
      <w:pPr>
        <w:pStyle w:val="Nagwek1"/>
        <w:spacing w:before="0" w:beforeAutospacing="0" w:after="0" w:afterAutospacing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7120C" w:rsidRPr="002E5CFE" w:rsidRDefault="0067120C" w:rsidP="0067120C">
      <w:pPr>
        <w:pStyle w:val="Nagwek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67120C" w:rsidRPr="002E5CFE" w:rsidRDefault="0067120C" w:rsidP="0067120C">
      <w:pPr>
        <w:pStyle w:val="Nagwek1"/>
        <w:spacing w:before="0" w:beforeAutospacing="0" w:after="0" w:afterAutospacing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7120C" w:rsidRPr="002E5CFE" w:rsidRDefault="0067120C" w:rsidP="0067120C">
      <w:pPr>
        <w:pStyle w:val="Nagwek1"/>
        <w:spacing w:before="0" w:beforeAutospacing="0" w:after="0" w:afterAutospacing="0" w:line="360" w:lineRule="auto"/>
        <w:jc w:val="center"/>
        <w:rPr>
          <w:rFonts w:ascii="Times New Roman" w:hAnsi="Times New Roman"/>
          <w:sz w:val="28"/>
          <w:szCs w:val="28"/>
        </w:rPr>
      </w:pPr>
      <w:r w:rsidRPr="002E5CFE">
        <w:rPr>
          <w:rFonts w:ascii="Times New Roman" w:hAnsi="Times New Roman" w:hint="eastAsia"/>
          <w:sz w:val="28"/>
          <w:szCs w:val="28"/>
        </w:rPr>
        <w:t>Yinan LIU</w:t>
      </w:r>
    </w:p>
    <w:p w:rsidR="0067120C" w:rsidRPr="002E5CFE" w:rsidRDefault="0067120C" w:rsidP="0067120C">
      <w:pPr>
        <w:pStyle w:val="Nagwek1"/>
        <w:spacing w:before="0" w:beforeAutospacing="0" w:after="0" w:afterAutospacing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7120C" w:rsidRPr="002E5CFE" w:rsidRDefault="0067120C" w:rsidP="0067120C">
      <w:pPr>
        <w:pStyle w:val="Nagwek1"/>
        <w:spacing w:before="0" w:beforeAutospacing="0" w:after="0" w:afterAutospacing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7120C" w:rsidRPr="002E5CFE" w:rsidRDefault="0067120C" w:rsidP="0067120C">
      <w:pPr>
        <w:pStyle w:val="Nagwek1"/>
        <w:spacing w:before="0" w:beforeAutospacing="0" w:after="0" w:afterAutospacing="0" w:line="360" w:lineRule="auto"/>
        <w:jc w:val="center"/>
        <w:rPr>
          <w:rFonts w:ascii="Times New Roman" w:hAnsi="Times New Roman"/>
          <w:sz w:val="28"/>
          <w:szCs w:val="28"/>
        </w:rPr>
      </w:pPr>
      <w:r w:rsidRPr="002E5CFE">
        <w:rPr>
          <w:rFonts w:ascii="Times New Roman" w:hAnsi="Times New Roman" w:hint="eastAsia"/>
          <w:sz w:val="28"/>
          <w:szCs w:val="28"/>
        </w:rPr>
        <w:t>THE INFLUENCE OF CHINA</w:t>
      </w:r>
      <w:r w:rsidRPr="002E5CFE">
        <w:rPr>
          <w:rFonts w:ascii="Times New Roman" w:hAnsi="Times New Roman"/>
          <w:sz w:val="28"/>
          <w:szCs w:val="28"/>
        </w:rPr>
        <w:t>’</w:t>
      </w:r>
      <w:r w:rsidRPr="002E5CFE">
        <w:rPr>
          <w:rFonts w:ascii="Times New Roman" w:hAnsi="Times New Roman" w:hint="eastAsia"/>
          <w:sz w:val="28"/>
          <w:szCs w:val="28"/>
        </w:rPr>
        <w:t>S ACCESSION TO THE WTO</w:t>
      </w:r>
    </w:p>
    <w:p w:rsidR="0067120C" w:rsidRPr="002E5CFE" w:rsidRDefault="0067120C" w:rsidP="0067120C">
      <w:pPr>
        <w:pStyle w:val="Nagwek1"/>
        <w:spacing w:before="0" w:beforeAutospacing="0" w:after="0" w:afterAutospacing="0" w:line="360" w:lineRule="auto"/>
        <w:jc w:val="center"/>
        <w:rPr>
          <w:rFonts w:ascii="Times New Roman" w:hAnsi="Times New Roman"/>
          <w:sz w:val="28"/>
          <w:szCs w:val="28"/>
        </w:rPr>
      </w:pPr>
      <w:r w:rsidRPr="002E5CFE">
        <w:rPr>
          <w:rFonts w:ascii="Times New Roman" w:hAnsi="Times New Roman" w:hint="eastAsia"/>
          <w:sz w:val="28"/>
          <w:szCs w:val="28"/>
        </w:rPr>
        <w:t>ON EU ANTIDUMPING ACTIONS AGAINST CHINESE PRODUCTS</w:t>
      </w:r>
    </w:p>
    <w:p w:rsidR="0067120C" w:rsidRDefault="0067120C" w:rsidP="0067120C">
      <w:pPr>
        <w:spacing w:line="360" w:lineRule="auto"/>
        <w:jc w:val="center"/>
        <w:rPr>
          <w:sz w:val="24"/>
        </w:rPr>
      </w:pPr>
    </w:p>
    <w:p w:rsidR="0067120C" w:rsidRDefault="0067120C" w:rsidP="0067120C">
      <w:pPr>
        <w:spacing w:line="360" w:lineRule="auto"/>
        <w:jc w:val="center"/>
        <w:rPr>
          <w:sz w:val="24"/>
        </w:rPr>
      </w:pPr>
    </w:p>
    <w:p w:rsidR="0067120C" w:rsidRDefault="0067120C" w:rsidP="0067120C">
      <w:pPr>
        <w:spacing w:line="360" w:lineRule="auto"/>
        <w:jc w:val="center"/>
        <w:rPr>
          <w:sz w:val="24"/>
        </w:rPr>
      </w:pPr>
    </w:p>
    <w:p w:rsidR="0067120C" w:rsidRPr="00E26EED" w:rsidRDefault="0067120C" w:rsidP="0067120C">
      <w:pPr>
        <w:spacing w:line="360" w:lineRule="auto"/>
        <w:jc w:val="center"/>
        <w:rPr>
          <w:i/>
          <w:sz w:val="28"/>
          <w:szCs w:val="28"/>
        </w:rPr>
      </w:pPr>
      <w:r w:rsidRPr="00E26EED">
        <w:rPr>
          <w:rFonts w:hint="eastAsia"/>
          <w:i/>
          <w:sz w:val="28"/>
          <w:szCs w:val="28"/>
        </w:rPr>
        <w:t>PhD dissertation</w:t>
      </w:r>
    </w:p>
    <w:p w:rsidR="0067120C" w:rsidRPr="00E26EED" w:rsidRDefault="0067120C" w:rsidP="0067120C">
      <w:pPr>
        <w:spacing w:line="360" w:lineRule="auto"/>
        <w:jc w:val="right"/>
        <w:rPr>
          <w:sz w:val="28"/>
          <w:szCs w:val="28"/>
        </w:rPr>
      </w:pPr>
    </w:p>
    <w:p w:rsidR="0067120C" w:rsidRPr="00E26EED" w:rsidRDefault="0067120C" w:rsidP="0067120C">
      <w:pPr>
        <w:spacing w:line="360" w:lineRule="auto"/>
        <w:jc w:val="right"/>
        <w:rPr>
          <w:sz w:val="28"/>
          <w:szCs w:val="28"/>
        </w:rPr>
      </w:pPr>
    </w:p>
    <w:p w:rsidR="0067120C" w:rsidRPr="00E26EED" w:rsidRDefault="0067120C" w:rsidP="0067120C">
      <w:pPr>
        <w:spacing w:line="360" w:lineRule="auto"/>
        <w:jc w:val="right"/>
        <w:rPr>
          <w:sz w:val="28"/>
          <w:szCs w:val="28"/>
        </w:rPr>
      </w:pPr>
      <w:r w:rsidRPr="00E26EED">
        <w:rPr>
          <w:rFonts w:hint="eastAsia"/>
          <w:sz w:val="28"/>
          <w:szCs w:val="28"/>
        </w:rPr>
        <w:t>Supervisor</w:t>
      </w:r>
    </w:p>
    <w:p w:rsidR="0067120C" w:rsidRPr="00454943" w:rsidRDefault="0067120C" w:rsidP="0067120C">
      <w:pPr>
        <w:spacing w:line="360" w:lineRule="auto"/>
        <w:jc w:val="right"/>
        <w:rPr>
          <w:sz w:val="28"/>
          <w:szCs w:val="28"/>
          <w:lang w:val="pl-PL"/>
        </w:rPr>
      </w:pPr>
      <w:r w:rsidRPr="00E26EED">
        <w:rPr>
          <w:sz w:val="28"/>
          <w:szCs w:val="28"/>
        </w:rPr>
        <w:t>P</w:t>
      </w:r>
      <w:r w:rsidRPr="00E26EED">
        <w:rPr>
          <w:rFonts w:hint="eastAsia"/>
          <w:sz w:val="28"/>
          <w:szCs w:val="28"/>
        </w:rPr>
        <w:t xml:space="preserve">rof. dr hab. </w:t>
      </w:r>
      <w:r w:rsidRPr="00454943">
        <w:rPr>
          <w:rFonts w:hint="eastAsia"/>
          <w:sz w:val="28"/>
          <w:szCs w:val="28"/>
          <w:lang w:val="pl-PL"/>
        </w:rPr>
        <w:t>El</w:t>
      </w:r>
      <w:r w:rsidR="00454943">
        <w:rPr>
          <w:rFonts w:ascii="MS Mincho" w:eastAsia="MS Mincho" w:hAnsi="MS Mincho" w:cs="MS Mincho"/>
          <w:sz w:val="28"/>
          <w:szCs w:val="28"/>
          <w:lang w:val="pl-PL"/>
        </w:rPr>
        <w:t>ż</w:t>
      </w:r>
      <w:r w:rsidRPr="00454943">
        <w:rPr>
          <w:rFonts w:hint="eastAsia"/>
          <w:sz w:val="28"/>
          <w:szCs w:val="28"/>
          <w:lang w:val="pl-PL"/>
        </w:rPr>
        <w:t>bieta Kawecka-Wyrzykowska</w:t>
      </w:r>
    </w:p>
    <w:p w:rsidR="0067120C" w:rsidRPr="00454943" w:rsidRDefault="0067120C" w:rsidP="0067120C">
      <w:pPr>
        <w:spacing w:line="360" w:lineRule="auto"/>
        <w:jc w:val="center"/>
        <w:rPr>
          <w:sz w:val="28"/>
          <w:szCs w:val="28"/>
          <w:lang w:val="pl-PL"/>
        </w:rPr>
      </w:pPr>
    </w:p>
    <w:p w:rsidR="0067120C" w:rsidRPr="00454943" w:rsidRDefault="0067120C" w:rsidP="0067120C">
      <w:pPr>
        <w:spacing w:line="360" w:lineRule="auto"/>
        <w:jc w:val="center"/>
        <w:rPr>
          <w:sz w:val="28"/>
          <w:szCs w:val="28"/>
          <w:lang w:val="pl-PL"/>
        </w:rPr>
      </w:pPr>
    </w:p>
    <w:p w:rsidR="0067120C" w:rsidRPr="00454943" w:rsidRDefault="0067120C" w:rsidP="0067120C">
      <w:pPr>
        <w:spacing w:line="360" w:lineRule="auto"/>
        <w:jc w:val="center"/>
        <w:rPr>
          <w:sz w:val="28"/>
          <w:szCs w:val="28"/>
          <w:lang w:val="pl-PL"/>
        </w:rPr>
      </w:pPr>
      <w:r w:rsidRPr="00454943">
        <w:rPr>
          <w:rFonts w:hint="eastAsia"/>
          <w:sz w:val="28"/>
          <w:szCs w:val="28"/>
          <w:lang w:val="pl-PL"/>
        </w:rPr>
        <w:t>Warsaw, 2014</w:t>
      </w:r>
    </w:p>
    <w:p w:rsidR="0067120C" w:rsidRDefault="0067120C">
      <w:pPr>
        <w:widowControl/>
        <w:spacing w:after="200" w:line="276" w:lineRule="auto"/>
        <w:jc w:val="left"/>
        <w:rPr>
          <w:rFonts w:eastAsia="AGaramondPro-Bold"/>
          <w:kern w:val="0"/>
          <w:sz w:val="24"/>
          <w:lang w:val="pl-PL" w:eastAsia="pl-PL"/>
        </w:rPr>
      </w:pPr>
      <w:r w:rsidRPr="00454943">
        <w:rPr>
          <w:rFonts w:eastAsia="AGaramondPro-Bold"/>
          <w:lang w:val="pl-PL"/>
        </w:rPr>
        <w:br w:type="page"/>
      </w:r>
    </w:p>
    <w:p w:rsidR="002E18AD" w:rsidRPr="00584619" w:rsidRDefault="002E18AD" w:rsidP="00454943">
      <w:pPr>
        <w:widowControl/>
        <w:spacing w:after="200" w:line="276" w:lineRule="auto"/>
        <w:jc w:val="left"/>
        <w:rPr>
          <w:rFonts w:eastAsia="AGaramondPro-Bold"/>
          <w:b/>
          <w:lang w:val="pl-PL"/>
        </w:rPr>
      </w:pPr>
      <w:r w:rsidRPr="00584619">
        <w:rPr>
          <w:rFonts w:eastAsia="AGaramondPro-Bold"/>
          <w:b/>
          <w:lang w:val="pl-PL"/>
        </w:rPr>
        <w:lastRenderedPageBreak/>
        <w:t>STRESZCZENIE</w:t>
      </w:r>
    </w:p>
    <w:p w:rsidR="0067120C" w:rsidRDefault="0067120C" w:rsidP="0067120C">
      <w:pPr>
        <w:pStyle w:val="bodytext"/>
        <w:spacing w:before="0" w:beforeAutospacing="0" w:after="0" w:afterAutospacing="0" w:line="360" w:lineRule="auto"/>
        <w:ind w:firstLine="420"/>
        <w:jc w:val="both"/>
        <w:rPr>
          <w:rFonts w:eastAsia="AGaramondPro-Bold"/>
        </w:rPr>
      </w:pPr>
      <w:r w:rsidRPr="00530927">
        <w:rPr>
          <w:rFonts w:eastAsia="AGaramondPro-Bold"/>
        </w:rPr>
        <w:t>Globalizacja i rozwój powiązań bil</w:t>
      </w:r>
      <w:r>
        <w:rPr>
          <w:rFonts w:eastAsia="AGaramondPro-Bold"/>
        </w:rPr>
        <w:t>a</w:t>
      </w:r>
      <w:r w:rsidRPr="00530927">
        <w:rPr>
          <w:rFonts w:eastAsia="AGaramondPro-Bold"/>
        </w:rPr>
        <w:t>teralnych pogł</w:t>
      </w:r>
      <w:r>
        <w:rPr>
          <w:rFonts w:eastAsia="AGaramondPro-Bold"/>
        </w:rPr>
        <w:t>ębiają współzależność</w:t>
      </w:r>
      <w:r w:rsidRPr="00530927">
        <w:rPr>
          <w:rFonts w:eastAsia="AGaramondPro-Bold"/>
        </w:rPr>
        <w:t xml:space="preserve"> państw, ale jednocześni</w:t>
      </w:r>
      <w:r>
        <w:rPr>
          <w:rFonts w:eastAsia="AGaramondPro-Bold"/>
        </w:rPr>
        <w:t>e</w:t>
      </w:r>
      <w:r w:rsidRPr="00530927">
        <w:rPr>
          <w:rFonts w:eastAsia="AGaramondPro-Bold"/>
        </w:rPr>
        <w:t xml:space="preserve"> zaostrz</w:t>
      </w:r>
      <w:r>
        <w:rPr>
          <w:rFonts w:eastAsia="AGaramondPro-Bold"/>
        </w:rPr>
        <w:t>a</w:t>
      </w:r>
      <w:r w:rsidRPr="00530927">
        <w:rPr>
          <w:rFonts w:eastAsia="AGaramondPro-Bold"/>
        </w:rPr>
        <w:t xml:space="preserve">ją </w:t>
      </w:r>
      <w:r>
        <w:rPr>
          <w:rFonts w:eastAsia="AGaramondPro-Bold"/>
        </w:rPr>
        <w:t xml:space="preserve">miedzy nimi </w:t>
      </w:r>
      <w:r w:rsidRPr="00530927">
        <w:rPr>
          <w:rFonts w:eastAsia="AGaramondPro-Bold"/>
        </w:rPr>
        <w:t xml:space="preserve">konflikty </w:t>
      </w:r>
      <w:r>
        <w:rPr>
          <w:rFonts w:eastAsia="AGaramondPro-Bold"/>
        </w:rPr>
        <w:t>i</w:t>
      </w:r>
      <w:r w:rsidRPr="00530927">
        <w:rPr>
          <w:rFonts w:eastAsia="AGaramondPro-Bold"/>
        </w:rPr>
        <w:t xml:space="preserve"> problem</w:t>
      </w:r>
      <w:r>
        <w:rPr>
          <w:rFonts w:eastAsia="AGaramondPro-Bold"/>
        </w:rPr>
        <w:t>y</w:t>
      </w:r>
      <w:r w:rsidRPr="00530927">
        <w:rPr>
          <w:rFonts w:eastAsia="AGaramondPro-Bold"/>
        </w:rPr>
        <w:t xml:space="preserve">. </w:t>
      </w:r>
      <w:r>
        <w:rPr>
          <w:rFonts w:eastAsia="AGaramondPro-Bold"/>
        </w:rPr>
        <w:t>W wyniku szybkiego rozwoju importu UE z Chin i pogarszania się salda bilansu handlowego dla EU, bilateralne konflikty handlowe EU-Chiny stały się ostatnio bardziej intensywne. W sytuacji, gdy znaczenie ceł importowych w handlu międzynarodowym zmniejszyło się wraz z redukcją stawek celnych w ramach rund negocjacyjnych GATT/WTO, antydumping stał się instrumentem protekcji na rynkach państw GATT/WTO. Liczne badania wskazują, że stał się on istotną barierą w handlu międzynarodowym. Jednocześnie, Chiny stały się głównym przedmiotem działań antydumpingowych w UE.</w:t>
      </w:r>
    </w:p>
    <w:p w:rsidR="0067120C" w:rsidRPr="00530927" w:rsidRDefault="0067120C" w:rsidP="0067120C">
      <w:pPr>
        <w:pStyle w:val="bodytext"/>
        <w:spacing w:before="0" w:beforeAutospacing="0" w:after="0" w:afterAutospacing="0" w:line="360" w:lineRule="auto"/>
        <w:jc w:val="both"/>
        <w:rPr>
          <w:rFonts w:eastAsia="AGaramondPro-Bold"/>
        </w:rPr>
      </w:pPr>
      <w:r>
        <w:rPr>
          <w:rFonts w:eastAsia="AGaramondPro-Bold"/>
        </w:rPr>
        <w:tab/>
        <w:t xml:space="preserve">W licznych pracach autorzy próbują wyjaśniać istotę antydumpingu oraz efekty polityki antydumpingowej dla dobrobytu państw importujących; natomiast niewiele jest </w:t>
      </w:r>
      <w:r w:rsidR="00D93942">
        <w:rPr>
          <w:rFonts w:eastAsia="AGaramondPro-Bold"/>
        </w:rPr>
        <w:t>b</w:t>
      </w:r>
      <w:r>
        <w:rPr>
          <w:rFonts w:eastAsia="AGaramondPro-Bold"/>
        </w:rPr>
        <w:t>adań które by wyjaśniały implikacje akcesji Chin do WTO dla polityki antydumpingowej użytkowników tej polityki. K</w:t>
      </w:r>
      <w:r w:rsidRPr="0067120C">
        <w:rPr>
          <w:rFonts w:eastAsia="AGaramondPro-Bold"/>
        </w:rPr>
        <w:t>luczową zasadą WTO jest niedyskryminacja, ale C</w:t>
      </w:r>
      <w:r>
        <w:rPr>
          <w:rFonts w:eastAsia="AGaramondPro-Bold"/>
        </w:rPr>
        <w:t>hiny są traktowane w sposób dyskryminacyjny.</w:t>
      </w:r>
      <w:r w:rsidRPr="0067120C">
        <w:rPr>
          <w:rFonts w:eastAsia="AGaramondPro-Bold"/>
        </w:rPr>
        <w:t xml:space="preserve"> </w:t>
      </w:r>
      <w:r>
        <w:rPr>
          <w:rFonts w:eastAsia="AGaramondPro-Bold"/>
        </w:rPr>
        <w:t>Innymi słowy, nie jest jasne, czy akcesja do WTO zmniejszyła  intensywność działań antydumpingowych czy też nie. Nie jest też jasne, jakie są inne przyczyny – poza przepisami WTO – częstego stosowania przez UE działań antydumpingowych wobec chińskich produktów. Celem niniejszego bada</w:t>
      </w:r>
      <w:r w:rsidR="00D93942">
        <w:rPr>
          <w:rFonts w:eastAsia="AGaramondPro-Bold"/>
        </w:rPr>
        <w:t>nia jest próba odpowiedzi na wyż</w:t>
      </w:r>
      <w:r>
        <w:rPr>
          <w:rFonts w:eastAsia="AGaramondPro-Bold"/>
        </w:rPr>
        <w:t xml:space="preserve">ej wymienione pytania badawcze. </w:t>
      </w:r>
    </w:p>
    <w:p w:rsidR="00433B81" w:rsidRDefault="00D93942" w:rsidP="00433B81">
      <w:pPr>
        <w:pStyle w:val="bodytext"/>
        <w:spacing w:before="0" w:beforeAutospacing="0" w:after="0" w:afterAutospacing="0" w:line="360" w:lineRule="auto"/>
        <w:ind w:firstLine="420"/>
        <w:jc w:val="both"/>
      </w:pPr>
      <w:r>
        <w:t>Dysertacja składa sie z czterech</w:t>
      </w:r>
      <w:r w:rsidR="00433B81" w:rsidRPr="00530927">
        <w:t xml:space="preserve"> rozdziałów. </w:t>
      </w:r>
      <w:r w:rsidR="00433B81">
        <w:t>Rozdział I oferuje teoretyczne ramy analizy. Dokonano w nim przeglądu istniejącej literatury, która wyjaśnia zjawisko dumpingu. W oparciu o definicje i klasyfikacje rodzajów dumpingu omówiono determinanty stosowania dumpingu przez firmy. Przedstawiono też teoretyczne argumenty „za” i „przeciw” działaniom antydumpingowym. W rozdziale II omówiono dumping i antydumping w świetle przepisów WTO oraz przepisów UE, a także motywy, które skłoniły Chiny do ubiegania się o członkostwo w WTO. W rozdziale III przeanalizowano i zinterpretowano tendencje rozwoju eksportu Chin, który był przedmiotem działań</w:t>
      </w:r>
      <w:r>
        <w:t xml:space="preserve"> antydumpingowych w EU, jak też</w:t>
      </w:r>
      <w:r w:rsidR="00433B81">
        <w:t xml:space="preserve"> przyczyny tego zjawiska. W rozdziale IV przedstawiono przyszłość polityki antydumpingowej UE wobec Chin.</w:t>
      </w:r>
      <w:r>
        <w:t xml:space="preserve"> W szczególności, uwzglę</w:t>
      </w:r>
      <w:r w:rsidR="00433B81">
        <w:t>dnio</w:t>
      </w:r>
      <w:r>
        <w:t>no</w:t>
      </w:r>
      <w:r w:rsidR="00433B81">
        <w:t xml:space="preserve"> w nim perspektywy eliminacji statusu gospodarki nierynkowej dla Chin w WTO w kontekście bardziej ogólnej ewolucji powiązań instytucjonalnych między UE i Chinami. Pracę kończy podsumowanie i wnioski. Te ostatni</w:t>
      </w:r>
      <w:r>
        <w:t>e</w:t>
      </w:r>
      <w:r w:rsidR="00433B81">
        <w:t xml:space="preserve"> sugerują, że intensywne wykorzystywani</w:t>
      </w:r>
      <w:r>
        <w:t>e</w:t>
      </w:r>
      <w:r w:rsidR="00433B81">
        <w:t xml:space="preserve"> działań antydumpingowych w przyszłości może mieć długofalowo</w:t>
      </w:r>
      <w:r w:rsidR="00433B81" w:rsidRPr="00433B81">
        <w:t xml:space="preserve"> </w:t>
      </w:r>
      <w:r w:rsidR="00433B81">
        <w:t>negatywne sku</w:t>
      </w:r>
      <w:r>
        <w:t>t</w:t>
      </w:r>
      <w:r w:rsidR="00433B81">
        <w:t xml:space="preserve">ki dla konkurencyjności firm unijnych. Większa świadomość tego faktu, jak też więcej </w:t>
      </w:r>
      <w:r w:rsidR="009A632F">
        <w:t>b</w:t>
      </w:r>
      <w:r w:rsidR="00433B81">
        <w:t xml:space="preserve">adań empirycznych na temat zakresu  tego zjawiska </w:t>
      </w:r>
      <w:r w:rsidR="00433B81">
        <w:lastRenderedPageBreak/>
        <w:t>winny zaowocować spadkiem działań antyd</w:t>
      </w:r>
      <w:r w:rsidR="009A632F">
        <w:t>u</w:t>
      </w:r>
      <w:r w:rsidR="00433B81">
        <w:t xml:space="preserve">pingowych </w:t>
      </w:r>
      <w:r w:rsidR="009A632F">
        <w:t>pr</w:t>
      </w:r>
      <w:r>
        <w:t>z</w:t>
      </w:r>
      <w:r w:rsidR="009A632F">
        <w:t>ez władze UE oraz mniejszym zainteresowaniem firm unijnych wykorzystywania tych środków. Generalnie, można powiedzieć, że konkurencja handlowa oraz regionalna protekcja sprawiły, że globalizacja i tworzenie globalnych łańcuchów produkcji stały się nowymi czynnikami, które mogą obniżyć z</w:t>
      </w:r>
      <w:r>
        <w:t>a</w:t>
      </w:r>
      <w:r w:rsidR="009A632F">
        <w:t>interesowanie</w:t>
      </w:r>
      <w:r>
        <w:t xml:space="preserve"> </w:t>
      </w:r>
      <w:r w:rsidR="009A632F">
        <w:t>U</w:t>
      </w:r>
      <w:r>
        <w:t>E</w:t>
      </w:r>
      <w:r w:rsidR="009A632F">
        <w:t xml:space="preserve"> działaniami antydumpingowymi przeciwko partnerom handlowym.</w:t>
      </w:r>
    </w:p>
    <w:p w:rsidR="00433B81" w:rsidRPr="00530927" w:rsidRDefault="00433B81" w:rsidP="00433B81">
      <w:pPr>
        <w:pStyle w:val="bodytext"/>
        <w:spacing w:before="0" w:beforeAutospacing="0" w:after="0" w:afterAutospacing="0" w:line="360" w:lineRule="auto"/>
        <w:ind w:firstLine="420"/>
        <w:jc w:val="both"/>
      </w:pPr>
      <w:r>
        <w:t xml:space="preserve"> </w:t>
      </w:r>
    </w:p>
    <w:p w:rsidR="00E57AEF" w:rsidRPr="009A632F" w:rsidRDefault="00584619">
      <w:pPr>
        <w:rPr>
          <w:lang w:val="pl-PL"/>
        </w:rPr>
      </w:pPr>
    </w:p>
    <w:sectPr w:rsidR="00E57AEF" w:rsidRPr="009A632F" w:rsidSect="0020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GaramondPro-Bold">
    <w:altName w:val="宋体"/>
    <w:charset w:val="86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D0274"/>
    <w:rsid w:val="00000C30"/>
    <w:rsid w:val="000D0274"/>
    <w:rsid w:val="00205AC8"/>
    <w:rsid w:val="002E18AD"/>
    <w:rsid w:val="003433B6"/>
    <w:rsid w:val="003A3B2C"/>
    <w:rsid w:val="00433B81"/>
    <w:rsid w:val="00454943"/>
    <w:rsid w:val="00530927"/>
    <w:rsid w:val="00584619"/>
    <w:rsid w:val="006105D2"/>
    <w:rsid w:val="0067120C"/>
    <w:rsid w:val="00974780"/>
    <w:rsid w:val="009A632F"/>
    <w:rsid w:val="00D93942"/>
    <w:rsid w:val="00DD76F4"/>
    <w:rsid w:val="00E320C2"/>
    <w:rsid w:val="00F4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27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Nagwek1">
    <w:name w:val="heading 1"/>
    <w:basedOn w:val="Normalny"/>
    <w:link w:val="Nagwek1Znak"/>
    <w:qFormat/>
    <w:rsid w:val="000D0274"/>
    <w:pPr>
      <w:widowControl/>
      <w:spacing w:before="100" w:beforeAutospacing="1" w:after="100" w:afterAutospacing="1"/>
      <w:jc w:val="left"/>
      <w:outlineLvl w:val="0"/>
    </w:pPr>
    <w:rPr>
      <w:rFonts w:ascii="SimSun" w:hAnsi="SimSu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274"/>
    <w:rPr>
      <w:rFonts w:ascii="SimSun" w:eastAsia="SimSun" w:hAnsi="SimSun" w:cs="Times New Roman"/>
      <w:b/>
      <w:bCs/>
      <w:kern w:val="36"/>
      <w:sz w:val="48"/>
      <w:szCs w:val="48"/>
      <w:lang w:val="en-US" w:eastAsia="zh-CN"/>
    </w:rPr>
  </w:style>
  <w:style w:type="paragraph" w:customStyle="1" w:styleId="bodytext">
    <w:name w:val="bodytext"/>
    <w:basedOn w:val="Normalny"/>
    <w:semiHidden/>
    <w:rsid w:val="000D0274"/>
    <w:pPr>
      <w:widowControl/>
      <w:spacing w:before="100" w:beforeAutospacing="1" w:after="100" w:afterAutospacing="1"/>
      <w:jc w:val="left"/>
    </w:pPr>
    <w:rPr>
      <w:kern w:val="0"/>
      <w:sz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Kawecka-Wyrzykowska</dc:creator>
  <cp:lastModifiedBy>jgorsk1</cp:lastModifiedBy>
  <cp:revision>3</cp:revision>
  <dcterms:created xsi:type="dcterms:W3CDTF">2014-06-25T13:23:00Z</dcterms:created>
  <dcterms:modified xsi:type="dcterms:W3CDTF">2014-06-25T13:30:00Z</dcterms:modified>
</cp:coreProperties>
</file>